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4224"/>
        <w:gridCol w:w="9816"/>
        <w:gridCol w:w="30"/>
      </w:tblGrid>
      <w:tr w:rsidR="00530F6A">
        <w:trPr>
          <w:gridAfter w:val="1"/>
          <w:wAfter w:w="30" w:type="dxa"/>
          <w:trHeight w:val="1080"/>
        </w:trPr>
        <w:tc>
          <w:tcPr>
            <w:tcW w:w="15000" w:type="dxa"/>
            <w:gridSpan w:val="3"/>
            <w:tcBorders>
              <w:bottom w:val="single" w:sz="4" w:space="0" w:color="000000"/>
            </w:tcBorders>
          </w:tcPr>
          <w:p w:rsidR="00530F6A" w:rsidRDefault="00530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сетевой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«Кировградский завод твёрдых сплавов», 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Правительства РФ № 24 от 21.01.2004 (в ред. Постановлений Правительства РФ от 01.02.2005 № 49, от 21.04.2009 № 334, от 09.08.2010 № 609</w:t>
            </w:r>
            <w:r w:rsidR="00636D06">
              <w:rPr>
                <w:sz w:val="28"/>
                <w:szCs w:val="28"/>
              </w:rPr>
              <w:t xml:space="preserve">, </w:t>
            </w:r>
            <w:proofErr w:type="gramStart"/>
            <w:r w:rsidR="00636D06">
              <w:rPr>
                <w:sz w:val="28"/>
                <w:szCs w:val="28"/>
              </w:rPr>
              <w:t>от</w:t>
            </w:r>
            <w:proofErr w:type="gramEnd"/>
            <w:r w:rsidR="00636D06">
              <w:rPr>
                <w:sz w:val="28"/>
                <w:szCs w:val="28"/>
              </w:rPr>
              <w:t xml:space="preserve"> 20.11.2018 №1391, от 30.01.2019 №64</w:t>
            </w:r>
            <w:r>
              <w:rPr>
                <w:sz w:val="28"/>
                <w:szCs w:val="28"/>
              </w:rPr>
              <w:t>)</w:t>
            </w:r>
          </w:p>
          <w:p w:rsidR="00636D06" w:rsidRDefault="00636D06">
            <w:pPr>
              <w:jc w:val="center"/>
              <w:rPr>
                <w:sz w:val="28"/>
                <w:szCs w:val="28"/>
              </w:rPr>
            </w:pPr>
          </w:p>
          <w:p w:rsidR="00530F6A" w:rsidRPr="00636D06" w:rsidRDefault="00B845B6">
            <w:pPr>
              <w:jc w:val="center"/>
              <w:rPr>
                <w:b/>
                <w:sz w:val="28"/>
                <w:szCs w:val="28"/>
              </w:rPr>
            </w:pPr>
            <w:r w:rsidRPr="00636D06">
              <w:rPr>
                <w:b/>
                <w:sz w:val="28"/>
                <w:szCs w:val="28"/>
                <w:lang w:val="en-US"/>
              </w:rPr>
              <w:t>I</w:t>
            </w:r>
            <w:r w:rsidR="0095659F">
              <w:rPr>
                <w:b/>
                <w:sz w:val="28"/>
                <w:szCs w:val="28"/>
                <w:lang w:val="en-US"/>
              </w:rPr>
              <w:t>V</w:t>
            </w:r>
            <w:r w:rsidR="00C811E4">
              <w:rPr>
                <w:b/>
                <w:sz w:val="28"/>
                <w:szCs w:val="28"/>
              </w:rPr>
              <w:t xml:space="preserve"> квартал 2021</w:t>
            </w:r>
            <w:r w:rsidR="00530F6A" w:rsidRPr="00636D06">
              <w:rPr>
                <w:b/>
                <w:sz w:val="28"/>
                <w:szCs w:val="28"/>
              </w:rPr>
              <w:t xml:space="preserve"> г.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</w:p>
        </w:tc>
      </w:tr>
      <w:tr w:rsidR="00530F6A">
        <w:trPr>
          <w:trHeight w:val="5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 w:rsidP="002216D5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Сводные данные об аварийных отключениях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Аварийных отключений не было</w:t>
            </w:r>
          </w:p>
          <w:p w:rsidR="00530F6A" w:rsidRDefault="00530F6A"/>
        </w:tc>
      </w:tr>
      <w:tr w:rsidR="00530F6A">
        <w:trPr>
          <w:trHeight w:val="11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F85F29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proofErr w:type="spellStart"/>
            <w:r w:rsidRPr="00636D06">
              <w:rPr>
                <w:b/>
              </w:rPr>
              <w:t>абз</w:t>
            </w:r>
            <w:proofErr w:type="spellEnd"/>
            <w:r w:rsidRPr="00636D06">
              <w:rPr>
                <w:b/>
              </w:rPr>
              <w:t>.</w:t>
            </w:r>
            <w:r w:rsidR="00636D06" w:rsidRPr="00636D06">
              <w:rPr>
                <w:b/>
              </w:rPr>
              <w:t xml:space="preserve"> </w:t>
            </w:r>
            <w:r w:rsidR="00F85F29" w:rsidRPr="00636D06">
              <w:rPr>
                <w:b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Объем недопоставленной в результате аварийных отключений электрической энергии   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r>
              <w:t xml:space="preserve"> 0 кВтч 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636D06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выше.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7D6BF5" w:rsidRDefault="007D6BF5" w:rsidP="00F428D2">
            <w:pPr>
              <w:snapToGrid w:val="0"/>
            </w:pPr>
          </w:p>
          <w:p w:rsidR="00094D5D" w:rsidRDefault="00CC7931" w:rsidP="00615BD1">
            <w:pPr>
              <w:snapToGrid w:val="0"/>
            </w:pPr>
            <w:hyperlink r:id="rId5" w:history="1">
              <w:r w:rsidRPr="00564283">
                <w:rPr>
                  <w:rStyle w:val="a3"/>
                </w:rPr>
                <w:t>http://кзтс.рф/core/user_files/svobodnaja%20moshcnost%204kv%202021.pdf</w:t>
              </w:r>
            </w:hyperlink>
          </w:p>
          <w:p w:rsidR="00CC7931" w:rsidRPr="00615BD1" w:rsidRDefault="00CC7931" w:rsidP="00615BD1">
            <w:pPr>
              <w:snapToGrid w:val="0"/>
            </w:pPr>
          </w:p>
          <w:p w:rsidR="00615BD1" w:rsidRPr="00615BD1" w:rsidRDefault="00615BD1" w:rsidP="00615BD1">
            <w:pPr>
              <w:snapToGrid w:val="0"/>
            </w:pPr>
          </w:p>
        </w:tc>
      </w:tr>
      <w:tr w:rsidR="00530F6A">
        <w:trPr>
          <w:trHeight w:val="68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</w:t>
            </w:r>
            <w:r w:rsidR="00636D06" w:rsidRPr="00636D06">
              <w:rPr>
                <w:b/>
              </w:rPr>
              <w:t>8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ниже.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5D" w:rsidRDefault="00094D5D" w:rsidP="00094D5D">
            <w:pPr>
              <w:snapToGrid w:val="0"/>
            </w:pPr>
          </w:p>
          <w:p w:rsidR="00CC7931" w:rsidRDefault="00CC7931" w:rsidP="00CC7931">
            <w:pPr>
              <w:snapToGrid w:val="0"/>
            </w:pPr>
            <w:hyperlink r:id="rId6" w:history="1">
              <w:r w:rsidRPr="00564283">
                <w:rPr>
                  <w:rStyle w:val="a3"/>
                </w:rPr>
                <w:t>http://кзтс.рф/core/user_files/svobodnaja%20moshcnost%204kv%202021.pdf</w:t>
              </w:r>
            </w:hyperlink>
          </w:p>
          <w:p w:rsidR="00F2142E" w:rsidRPr="008619C1" w:rsidRDefault="00F2142E" w:rsidP="00CC7931">
            <w:pPr>
              <w:snapToGrid w:val="0"/>
            </w:pPr>
            <w:bookmarkStart w:id="0" w:name="_GoBack"/>
            <w:bookmarkEnd w:id="0"/>
          </w:p>
        </w:tc>
      </w:tr>
      <w:tr w:rsidR="00530F6A">
        <w:trPr>
          <w:trHeight w:val="25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DB55FE" w:rsidRDefault="00DB55FE">
            <w:pPr>
              <w:snapToGrid w:val="0"/>
              <w:rPr>
                <w:b/>
              </w:rPr>
            </w:pPr>
            <w:r w:rsidRPr="00DB55FE">
              <w:rPr>
                <w:b/>
              </w:rPr>
              <w:t>п.19 "и</w:t>
            </w:r>
            <w:r w:rsidR="00530F6A" w:rsidRPr="00DB55FE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порядке выполнения технологических</w:t>
            </w:r>
            <w:proofErr w:type="gramStart"/>
            <w:r>
              <w:t xml:space="preserve"> ,</w:t>
            </w:r>
            <w:proofErr w:type="gramEnd"/>
            <w:r>
              <w:t xml:space="preserve"> технических и других мероприятий , связанных с технологическим присоединением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pStyle w:val="s13"/>
              <w:shd w:val="clear" w:color="auto" w:fill="FFFFFF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подача заявки юридическим или физическим лицом;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заключение договора;</w:t>
            </w:r>
          </w:p>
          <w:p w:rsidR="00530F6A" w:rsidRDefault="00530F6A">
            <w:r>
              <w:t>в) выполнение сторонами договора мероприятий, предусмотренных договором;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получение разрешения </w:t>
            </w:r>
            <w:hyperlink r:id="rId7" w:anchor="block_1002" w:history="1">
              <w:r w:rsidRPr="00530F6A">
                <w:rPr>
                  <w:rStyle w:val="a3"/>
                  <w:sz w:val="24"/>
                  <w:szCs w:val="24"/>
                </w:rPr>
                <w:t>органа федерального государственного энергетического надзора</w:t>
              </w:r>
            </w:hyperlink>
            <w:r w:rsidRPr="00530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допуск к эксплуатации объектов заявителя;</w:t>
            </w:r>
          </w:p>
          <w:p w:rsidR="00530F6A" w:rsidRDefault="00530F6A">
            <w:r>
              <w:t>д) фактический прием (подача) напряжения и мощности;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брони.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Нормативно правовой акт, которым утверждены правила осуществления технологического присоединения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Федеральный закон  №35-ФЗ «Об электроэнергетике»; Правила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(энергетических установок) юридических и физических лиц к электрическим сетям, </w:t>
            </w:r>
            <w:proofErr w:type="gramStart"/>
            <w:r>
              <w:t>утвержденными</w:t>
            </w:r>
            <w:proofErr w:type="gramEnd"/>
            <w:r>
              <w:t xml:space="preserve"> постановлением Правительства Российской Федерации от 27.12.2004 № 861 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lastRenderedPageBreak/>
              <w:t>п.19 "е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0117D5">
            <w:pPr>
              <w:snapToGrid w:val="0"/>
            </w:pPr>
            <w:r>
              <w:t xml:space="preserve">    </w:t>
            </w:r>
            <w:r w:rsidR="00530F6A">
              <w:t>Максимальная мощность: ВН-15 МВт</w:t>
            </w:r>
            <w:r>
              <w:t>;</w:t>
            </w:r>
            <w:r w:rsidR="00530F6A">
              <w:t xml:space="preserve"> </w:t>
            </w:r>
            <w:r>
              <w:t>СН2=0 МВт; НН=0 МВт</w:t>
            </w:r>
            <w:r w:rsidR="00530F6A">
              <w:t xml:space="preserve">   </w:t>
            </w:r>
            <w:r>
              <w:t>( На уровнях напряжения СН2 и НН максимальная мощность договорами электроснабжения не определены)</w:t>
            </w:r>
            <w:r w:rsidR="00530F6A">
              <w:t xml:space="preserve">                                                                     </w:t>
            </w:r>
            <w:r>
              <w:t xml:space="preserve">       </w:t>
            </w:r>
            <w:r w:rsidR="00530F6A">
              <w:t>Среднемесячная пот</w:t>
            </w:r>
            <w:r w:rsidR="00F6586B">
              <w:t>ребляемая мощность</w:t>
            </w:r>
            <w:proofErr w:type="gramStart"/>
            <w:r w:rsidR="00F6586B">
              <w:t>:</w:t>
            </w:r>
            <w:r w:rsidR="00F6586B" w:rsidRPr="00615BD1">
              <w:t>В</w:t>
            </w:r>
            <w:proofErr w:type="gramEnd"/>
            <w:r w:rsidR="00F6586B" w:rsidRPr="00615BD1">
              <w:t>Н-</w:t>
            </w:r>
            <w:r w:rsidR="0095659F">
              <w:rPr>
                <w:color w:val="FF0000"/>
              </w:rPr>
              <w:t xml:space="preserve">8,291 </w:t>
            </w:r>
            <w:r>
              <w:t xml:space="preserve">МВт; СН2=0 МВт; НН=0 МВт   ( На уровнях напряжения СН2 и НН среднемесячная потребляемая мощность договорами электроснабжения не определены)                                                                     </w:t>
            </w:r>
            <w:r w:rsidR="00530F6A">
              <w:t xml:space="preserve">                                                  </w:t>
            </w:r>
            <w:r>
              <w:t xml:space="preserve"> </w:t>
            </w:r>
            <w:r w:rsidR="00530F6A">
              <w:t>Величина резервируем</w:t>
            </w:r>
            <w:r w:rsidR="00DB55FE">
              <w:t>ой максимал</w:t>
            </w:r>
            <w:r w:rsidR="00402475">
              <w:t>ьной мощности : ВН</w:t>
            </w:r>
            <w:r w:rsidR="00402475" w:rsidRPr="004C6384">
              <w:rPr>
                <w:color w:val="FF0000"/>
              </w:rPr>
              <w:t xml:space="preserve">- </w:t>
            </w:r>
            <w:r w:rsidR="0095659F">
              <w:rPr>
                <w:color w:val="FF0000"/>
              </w:rPr>
              <w:t>6,709</w:t>
            </w:r>
            <w:r w:rsidR="005E13BB" w:rsidRPr="004C6384">
              <w:rPr>
                <w:color w:val="FF0000"/>
              </w:rPr>
              <w:t xml:space="preserve"> </w:t>
            </w:r>
            <w:r w:rsidR="00530F6A" w:rsidRPr="00615BD1">
              <w:t>МВт</w:t>
            </w:r>
            <w:r>
              <w:t xml:space="preserve">; СН2=0 МВт; НН=0 МВт   </w:t>
            </w:r>
            <w:r w:rsidR="00530F6A">
              <w:t xml:space="preserve">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 уровнях напряжения СН2 и НН резервируемая максимальная мощность договорами электроснабжения не определены).</w:t>
            </w:r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"н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Отчет о реализации инвестиционной программы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Наличия инвестиционных программ нет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</w:t>
            </w:r>
          </w:p>
          <w:p w:rsidR="00530F6A" w:rsidRPr="00F85F29" w:rsidRDefault="00503DE8">
            <w:pPr>
              <w:snapToGrid w:val="0"/>
              <w:rPr>
                <w:b/>
                <w:color w:val="FF0000"/>
              </w:rPr>
            </w:pPr>
            <w:r w:rsidRPr="00503DE8">
              <w:rPr>
                <w:b/>
              </w:rPr>
              <w:t>"</w:t>
            </w:r>
            <w:proofErr w:type="gramStart"/>
            <w:r w:rsidRPr="00503DE8">
              <w:rPr>
                <w:b/>
              </w:rPr>
              <w:t>п</w:t>
            </w:r>
            <w:proofErr w:type="gramEnd"/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CC7931">
            <w:pPr>
              <w:snapToGrid w:val="0"/>
            </w:pPr>
            <w:hyperlink r:id="rId8" w:history="1">
              <w:r w:rsidR="00530F6A" w:rsidRPr="0040765B">
                <w:rPr>
                  <w:rStyle w:val="a3"/>
                </w:rPr>
                <w:t>http://кзтс.рф/core/user_files/pasport1.xls</w:t>
              </w:r>
            </w:hyperlink>
          </w:p>
          <w:p w:rsidR="00530F6A" w:rsidRDefault="00530F6A">
            <w:pPr>
              <w:snapToGrid w:val="0"/>
            </w:pPr>
          </w:p>
          <w:p w:rsidR="00530F6A" w:rsidRDefault="00CC7931">
            <w:pPr>
              <w:snapToGrid w:val="0"/>
            </w:pPr>
            <w:hyperlink r:id="rId9" w:history="1">
              <w:r w:rsidR="00530F6A" w:rsidRPr="0040765B">
                <w:rPr>
                  <w:rStyle w:val="a3"/>
                </w:rPr>
                <w:t>http://кзтс.рф/core/user_files/pasport2.doc</w:t>
              </w:r>
            </w:hyperlink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 "р</w:t>
            </w:r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его контактные данные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  <w:r>
              <w:t xml:space="preserve"> Заявлений </w:t>
            </w:r>
            <w:r w:rsidR="00503DE8">
              <w:t xml:space="preserve">о перераспределении максимальной мощности </w:t>
            </w:r>
            <w:r w:rsidR="00BD255C">
              <w:t xml:space="preserve">в отчетном квартале </w:t>
            </w:r>
            <w:r>
              <w:t>не поступало</w:t>
            </w:r>
          </w:p>
        </w:tc>
      </w:tr>
    </w:tbl>
    <w:p w:rsidR="00530F6A" w:rsidRDefault="00530F6A"/>
    <w:sectPr w:rsidR="00530F6A" w:rsidSect="00953B8D">
      <w:pgSz w:w="16837" w:h="11905" w:orient="landscape"/>
      <w:pgMar w:top="709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A"/>
    <w:rsid w:val="000117D5"/>
    <w:rsid w:val="00076E83"/>
    <w:rsid w:val="00094D5D"/>
    <w:rsid w:val="001A758F"/>
    <w:rsid w:val="002216D5"/>
    <w:rsid w:val="00224771"/>
    <w:rsid w:val="00224C83"/>
    <w:rsid w:val="0024741A"/>
    <w:rsid w:val="00402475"/>
    <w:rsid w:val="004C30FD"/>
    <w:rsid w:val="004C6384"/>
    <w:rsid w:val="00503DE8"/>
    <w:rsid w:val="00530F6A"/>
    <w:rsid w:val="005A1AC0"/>
    <w:rsid w:val="005E13BB"/>
    <w:rsid w:val="00615BD1"/>
    <w:rsid w:val="00636D06"/>
    <w:rsid w:val="00651DDA"/>
    <w:rsid w:val="006A2B05"/>
    <w:rsid w:val="006D296A"/>
    <w:rsid w:val="00776E04"/>
    <w:rsid w:val="0077743E"/>
    <w:rsid w:val="007D6BF5"/>
    <w:rsid w:val="00820A8C"/>
    <w:rsid w:val="008619C1"/>
    <w:rsid w:val="00953B8D"/>
    <w:rsid w:val="0095659F"/>
    <w:rsid w:val="009D203F"/>
    <w:rsid w:val="00B63570"/>
    <w:rsid w:val="00B845B6"/>
    <w:rsid w:val="00BD255C"/>
    <w:rsid w:val="00BE4024"/>
    <w:rsid w:val="00C12727"/>
    <w:rsid w:val="00C811E4"/>
    <w:rsid w:val="00CC7931"/>
    <w:rsid w:val="00DB55FE"/>
    <w:rsid w:val="00DE3774"/>
    <w:rsid w:val="00E26C3A"/>
    <w:rsid w:val="00F2142E"/>
    <w:rsid w:val="00F428D2"/>
    <w:rsid w:val="00F6586B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9;&#1090;&#1089;.&#1088;&#1092;/core/user_files/pasport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192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79;&#1090;&#1089;.&#1088;&#1092;/core/user_files/svobodnaja%20moshcnost%204kv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2;&#1079;&#1090;&#1089;.&#1088;&#1092;/core/user_files/svobodnaja%20moshcnost%204kv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2;&#1079;&#1090;&#1089;.&#1088;&#1092;/core/user_files/pasport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сетевой организации ОАО «Кировградский завод твердых сплавов», согласно Постановлению Правительства РФ № 24 от 24</vt:lpstr>
    </vt:vector>
  </TitlesOfParts>
  <Company>oao kzts</Company>
  <LinksUpToDate>false</LinksUpToDate>
  <CharactersWithSpaces>3810</CharactersWithSpaces>
  <SharedDoc>false</SharedDoc>
  <HLinks>
    <vt:vector size="18" baseType="variant">
      <vt:variant>
        <vt:i4>69600323</vt:i4>
      </vt:variant>
      <vt:variant>
        <vt:i4>6</vt:i4>
      </vt:variant>
      <vt:variant>
        <vt:i4>0</vt:i4>
      </vt:variant>
      <vt:variant>
        <vt:i4>5</vt:i4>
      </vt:variant>
      <vt:variant>
        <vt:lpwstr>http://кзтс.рф/core/user_files/pasport2.doc</vt:lpwstr>
      </vt:variant>
      <vt:variant>
        <vt:lpwstr/>
      </vt:variant>
      <vt:variant>
        <vt:i4>69534812</vt:i4>
      </vt:variant>
      <vt:variant>
        <vt:i4>3</vt:i4>
      </vt:variant>
      <vt:variant>
        <vt:i4>0</vt:i4>
      </vt:variant>
      <vt:variant>
        <vt:i4>5</vt:i4>
      </vt:variant>
      <vt:variant>
        <vt:lpwstr>http://кзтс.рф/core/user_files/pasport1.xls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http://base.garant.ru/70419290/</vt:lpwstr>
      </vt:variant>
      <vt:variant>
        <vt:lpwstr>block_1002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сетевой организации ОАО «Кировградский завод твердых сплавов», согласно Постановлению Правительства РФ № 24 от 24</dc:title>
  <dc:creator>Гафуров</dc:creator>
  <cp:lastModifiedBy>Хараим Павел Васильевич</cp:lastModifiedBy>
  <cp:revision>3</cp:revision>
  <cp:lastPrinted>2010-12-23T10:35:00Z</cp:lastPrinted>
  <dcterms:created xsi:type="dcterms:W3CDTF">2022-01-03T10:18:00Z</dcterms:created>
  <dcterms:modified xsi:type="dcterms:W3CDTF">2022-01-03T10:27:00Z</dcterms:modified>
</cp:coreProperties>
</file>